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295C" w:rsidRDefault="00F5295C" w:rsidP="00F5295C">
      <w:pPr>
        <w:pStyle w:val="11"/>
      </w:pPr>
      <w:bookmarkStart w:id="0" w:name="_GoBack"/>
      <w:bookmarkEnd w:id="0"/>
      <w:r>
        <w:rPr>
          <w:rFonts w:hint="eastAsia"/>
        </w:rPr>
        <w:t>はじめに　～将来における関西圏の水素サプライチェーンを検討するにあたって～</w:t>
      </w:r>
    </w:p>
    <w:p w:rsidR="00F5295C" w:rsidRPr="00F5295C" w:rsidRDefault="00F5295C" w:rsidP="00F5295C"/>
    <w:p w:rsidR="00F5295C" w:rsidRDefault="00FA06E4" w:rsidP="00F5295C">
      <w:pPr>
        <w:pStyle w:val="1"/>
      </w:pPr>
      <w:r>
        <w:rPr>
          <w:rFonts w:hint="eastAsia"/>
        </w:rPr>
        <w:t xml:space="preserve">■　</w:t>
      </w:r>
      <w:r w:rsidR="00F5295C">
        <w:rPr>
          <w:rFonts w:hint="eastAsia"/>
        </w:rPr>
        <w:t>水素サプライチェーンを検討する意義</w:t>
      </w:r>
    </w:p>
    <w:p w:rsidR="00F5295C" w:rsidRDefault="00F5295C" w:rsidP="00F5295C">
      <w:pPr>
        <w:pStyle w:val="10"/>
      </w:pPr>
      <w:r w:rsidRPr="00C87031">
        <w:rPr>
          <w:rFonts w:hint="eastAsia"/>
        </w:rPr>
        <w:t>2016年に</w:t>
      </w:r>
      <w:r>
        <w:rPr>
          <w:rFonts w:hint="eastAsia"/>
        </w:rPr>
        <w:t>、2020年以降の温室効果ガス排出削減等のための新たな国際的枠組み「パリ協定」が発効し、中長期的に二酸化炭素排出量の大幅削減を進めていくことが国際的に求められており、地域レベルで低炭素社会づくりを推進していくことが必要となっている。</w:t>
      </w:r>
    </w:p>
    <w:p w:rsidR="00F5295C" w:rsidRDefault="00F5295C" w:rsidP="00F5295C">
      <w:pPr>
        <w:pStyle w:val="10"/>
      </w:pPr>
      <w:r>
        <w:rPr>
          <w:rFonts w:hint="eastAsia"/>
        </w:rPr>
        <w:t>水素は、エネルギー源として使用する際に二酸化炭素を発生せず、再生可能エネルギーなど様々な一次エネルギー源から製造することができるため、地球温暖化対策やエネルギー安全保障の強化といった課題解決の切り札の一つとして期待さ</w:t>
      </w:r>
      <w:r w:rsidRPr="00513569">
        <w:rPr>
          <w:rFonts w:hint="eastAsia"/>
        </w:rPr>
        <w:t>れてい</w:t>
      </w:r>
      <w:r>
        <w:rPr>
          <w:rFonts w:hint="eastAsia"/>
        </w:rPr>
        <w:t>る</w:t>
      </w:r>
      <w:r w:rsidRPr="00513569">
        <w:rPr>
          <w:rFonts w:hint="eastAsia"/>
        </w:rPr>
        <w:t>。ま</w:t>
      </w:r>
      <w:r>
        <w:rPr>
          <w:rFonts w:hint="eastAsia"/>
        </w:rPr>
        <w:t>た、今後、水素関連分野の市場規模は拡大が見込まれ、水素利活用を進めることは、関西圏の産業振興にも繋がるものである。</w:t>
      </w:r>
    </w:p>
    <w:p w:rsidR="00F5295C" w:rsidRPr="00C87031" w:rsidRDefault="00F5295C" w:rsidP="00F5295C">
      <w:pPr>
        <w:pStyle w:val="10"/>
      </w:pPr>
      <w:r w:rsidRPr="00C87031">
        <w:rPr>
          <w:rFonts w:hint="eastAsia"/>
        </w:rPr>
        <w:t>関西には、水素ステーションや燃料電池、これらの関連機器等を取り扱う企業が多数立地しており、全国に先駆け、水素利活用技術・システムの実証事業も展開されています。また、高度な技術力を有する中堅・中小企業が集積しており、水素分野への参入を通じて、地域経済活性化に寄与することが期待され</w:t>
      </w:r>
      <w:r>
        <w:rPr>
          <w:rFonts w:hint="eastAsia"/>
        </w:rPr>
        <w:t>る</w:t>
      </w:r>
      <w:r w:rsidRPr="00C87031">
        <w:rPr>
          <w:rFonts w:hint="eastAsia"/>
        </w:rPr>
        <w:t>。加えて、関西は地球温暖化対策をはじめとする環境保全対策に先導的に取り組んできた歴史もあ</w:t>
      </w:r>
      <w:r>
        <w:rPr>
          <w:rFonts w:hint="eastAsia"/>
        </w:rPr>
        <w:t>る</w:t>
      </w:r>
      <w:r w:rsidRPr="00C87031">
        <w:rPr>
          <w:rFonts w:hint="eastAsia"/>
        </w:rPr>
        <w:t>。</w:t>
      </w:r>
    </w:p>
    <w:p w:rsidR="00F5295C" w:rsidRDefault="00F5295C" w:rsidP="00F5295C">
      <w:pPr>
        <w:pStyle w:val="10"/>
      </w:pPr>
      <w:r w:rsidRPr="00C87031">
        <w:rPr>
          <w:rFonts w:hint="eastAsia"/>
        </w:rPr>
        <w:t>こうした関西の強みを活かし、</w:t>
      </w:r>
      <w:r>
        <w:rPr>
          <w:rFonts w:hint="eastAsia"/>
        </w:rPr>
        <w:t>環境負荷の低減やエネルギーセキュリティの向上等に大きく貢献できる可能性がある水素の利活用の円滑かつ早期の拡大を図ることで、関西に集積する水素関連産業の伸張による</w:t>
      </w:r>
      <w:r w:rsidRPr="00C87031">
        <w:rPr>
          <w:rFonts w:hint="eastAsia"/>
        </w:rPr>
        <w:t>地域の活力向上、二酸化炭素</w:t>
      </w:r>
      <w:r>
        <w:rPr>
          <w:rFonts w:hint="eastAsia"/>
        </w:rPr>
        <w:t>排出が抑制された低炭素社会づくりを進め、活力ある環境負荷低減型の関西を</w:t>
      </w:r>
      <w:r w:rsidRPr="00C87031">
        <w:rPr>
          <w:rFonts w:hint="eastAsia"/>
        </w:rPr>
        <w:t>目指す。</w:t>
      </w:r>
    </w:p>
    <w:p w:rsidR="00F5295C" w:rsidRDefault="00F5295C" w:rsidP="00F5295C">
      <w:pPr>
        <w:pStyle w:val="10"/>
      </w:pPr>
      <w:r>
        <w:rPr>
          <w:rFonts w:hint="eastAsia"/>
        </w:rPr>
        <w:t>この具体化に向けて、国の「水素基本戦略」等を踏まえ、2030年頃の実現を念頭に、関西圏における水素の製造や輸入、輸送・貯蔵から利活用までのサプライチェーン構想を</w:t>
      </w:r>
      <w:r w:rsidRPr="00C87031">
        <w:rPr>
          <w:rFonts w:hint="eastAsia"/>
        </w:rPr>
        <w:t>作成</w:t>
      </w:r>
      <w:r>
        <w:rPr>
          <w:rFonts w:hint="eastAsia"/>
        </w:rPr>
        <w:t>する</w:t>
      </w:r>
      <w:r w:rsidRPr="00C87031">
        <w:rPr>
          <w:rFonts w:hint="eastAsia"/>
        </w:rPr>
        <w:t>。</w:t>
      </w:r>
    </w:p>
    <w:p w:rsidR="00F5295C" w:rsidRDefault="00F5295C" w:rsidP="00F5295C">
      <w:pPr>
        <w:pStyle w:val="10"/>
      </w:pPr>
    </w:p>
    <w:p w:rsidR="00F5295C" w:rsidRDefault="00FA06E4" w:rsidP="00F5295C">
      <w:pPr>
        <w:pStyle w:val="1"/>
      </w:pPr>
      <w:r>
        <w:rPr>
          <w:rFonts w:hint="eastAsia"/>
        </w:rPr>
        <w:t xml:space="preserve">■　</w:t>
      </w:r>
      <w:r w:rsidR="00F5295C">
        <w:rPr>
          <w:rFonts w:hint="eastAsia"/>
        </w:rPr>
        <w:t>今年度調査について</w:t>
      </w:r>
    </w:p>
    <w:p w:rsidR="00F5295C" w:rsidRDefault="00F5295C" w:rsidP="00F5295C">
      <w:pPr>
        <w:pStyle w:val="10"/>
      </w:pPr>
      <w:r>
        <w:rPr>
          <w:rFonts w:hint="eastAsia"/>
        </w:rPr>
        <w:t>平成29年度は、その基礎資料とするため、圏域における水素に関する様々な取組の把握と2030年頃の水素アプリケーションの普及可能性等の検討を行い、水素ポテンシャルマップとして取りまとめた。今年度は、昨年度調査による関西圏における普及想定を踏まえて、</w:t>
      </w:r>
      <w:r w:rsidRPr="00C87031">
        <w:rPr>
          <w:rFonts w:hint="eastAsia"/>
        </w:rPr>
        <w:t>将来における関西圏の水素の需要・供給・輸送に関する検討を行ったうえで、関西圏で想定される水素サプライチェーンを体系化するとともに、</w:t>
      </w:r>
      <w:r>
        <w:rPr>
          <w:rFonts w:hint="eastAsia"/>
        </w:rPr>
        <w:t>実現に向けた課題、必要な取組、自治体の役割等を整理する。</w:t>
      </w:r>
    </w:p>
    <w:p w:rsidR="00F5295C" w:rsidRDefault="00F5295C" w:rsidP="00F5295C">
      <w:pPr>
        <w:pStyle w:val="10"/>
      </w:pPr>
    </w:p>
    <w:p w:rsidR="00F5295C" w:rsidRDefault="00F5295C" w:rsidP="00F5295C">
      <w:pPr>
        <w:pStyle w:val="10"/>
      </w:pPr>
    </w:p>
    <w:p w:rsidR="00F5295C" w:rsidRDefault="00F5295C" w:rsidP="00F5295C">
      <w:pPr>
        <w:pStyle w:val="10"/>
      </w:pPr>
    </w:p>
    <w:p w:rsidR="00F5295C" w:rsidRDefault="00F5295C" w:rsidP="00F5295C">
      <w:pPr>
        <w:pStyle w:val="10"/>
      </w:pPr>
      <w:r>
        <w:rPr>
          <w:rFonts w:hint="eastAsia"/>
        </w:rPr>
        <w:lastRenderedPageBreak/>
        <w:t>以下に、昨年度調査で</w:t>
      </w:r>
      <w:r w:rsidRPr="00C87031">
        <w:rPr>
          <w:rFonts w:hint="eastAsia"/>
        </w:rPr>
        <w:t>想定した関西圏域</w:t>
      </w:r>
      <w:r>
        <w:rPr>
          <w:rFonts w:hint="eastAsia"/>
        </w:rPr>
        <w:t>内の水素利活用拡大のシナリオを示す。</w:t>
      </w:r>
    </w:p>
    <w:p w:rsidR="00F5295C" w:rsidRDefault="00F5295C" w:rsidP="00F5295C">
      <w:pPr>
        <w:pStyle w:val="2"/>
      </w:pPr>
      <w:r>
        <w:rPr>
          <w:rFonts w:hint="eastAsia"/>
        </w:rPr>
        <w:t xml:space="preserve">＜2030年頃のポテンシャルの検討にあたっての基本的考え方＞　</w:t>
      </w:r>
      <w:r>
        <w:rPr>
          <w:rFonts w:hint="eastAsia"/>
          <w:sz w:val="18"/>
          <w:szCs w:val="18"/>
        </w:rPr>
        <w:t>※</w:t>
      </w:r>
      <w:r w:rsidRPr="00AB2CEB">
        <w:rPr>
          <w:rFonts w:hint="eastAsia"/>
          <w:sz w:val="18"/>
          <w:szCs w:val="18"/>
        </w:rPr>
        <w:t>ポテンシャルマップより抜粋</w:t>
      </w:r>
    </w:p>
    <w:p w:rsidR="00F5295C" w:rsidRDefault="00F5295C" w:rsidP="00F5295C">
      <w:pPr>
        <w:pStyle w:val="10"/>
      </w:pPr>
      <w:r>
        <w:rPr>
          <w:rFonts w:hint="eastAsia"/>
        </w:rPr>
        <w:t>関西圏における2030年頃の水素ポテンシャルの検討にあたっては、ロードマップ及び基本戦略を踏まえ、海外からの未利用エネルギー由来の水素の供給システムが本格導入され、安価で安定的に環境負荷の少ない形で製造された水素による発電事業用の水素発電が開発されることを前提とする。</w:t>
      </w:r>
    </w:p>
    <w:p w:rsidR="00F5295C" w:rsidRDefault="00F5295C" w:rsidP="00F5295C">
      <w:pPr>
        <w:pStyle w:val="10"/>
      </w:pPr>
    </w:p>
    <w:p w:rsidR="00F5295C" w:rsidRDefault="00F5295C" w:rsidP="00F5295C">
      <w:pPr>
        <w:pStyle w:val="10"/>
      </w:pPr>
      <w:r>
        <w:rPr>
          <w:rFonts w:hint="eastAsia"/>
        </w:rPr>
        <w:t>この前提のもと、次頁のような圏域内の水素利活用拡大のシナリオを想定した。</w:t>
      </w:r>
    </w:p>
    <w:p w:rsidR="00F5295C" w:rsidRPr="002C37B9" w:rsidRDefault="00F5295C" w:rsidP="00F5295C">
      <w:pPr>
        <w:widowControl/>
        <w:jc w:val="left"/>
        <w:rPr>
          <w:kern w:val="0"/>
        </w:rPr>
      </w:pPr>
      <w:r w:rsidRPr="00E42E10">
        <w:rPr>
          <w:noProof/>
        </w:rPr>
        <w:drawing>
          <wp:anchor distT="0" distB="0" distL="114300" distR="114300" simplePos="0" relativeHeight="251659264" behindDoc="0" locked="0" layoutInCell="1" allowOverlap="1" wp14:anchorId="397A6EB9" wp14:editId="28F677AA">
            <wp:simplePos x="0" y="0"/>
            <wp:positionH relativeFrom="margin">
              <wp:posOffset>7262495</wp:posOffset>
            </wp:positionH>
            <wp:positionV relativeFrom="margin">
              <wp:posOffset>327660</wp:posOffset>
            </wp:positionV>
            <wp:extent cx="5715000" cy="8641963"/>
            <wp:effectExtent l="0" t="0" r="0" b="698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864196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295C" w:rsidRDefault="00F5295C">
      <w:pPr>
        <w:widowControl/>
        <w:jc w:val="left"/>
      </w:pPr>
      <w:r>
        <w:br w:type="page"/>
      </w:r>
    </w:p>
    <w:p w:rsidR="00F5295C" w:rsidRDefault="00F5295C" w:rsidP="00F5295C">
      <w:r w:rsidRPr="00E42E10">
        <w:rPr>
          <w:noProof/>
        </w:rPr>
        <w:drawing>
          <wp:anchor distT="0" distB="0" distL="114300" distR="114300" simplePos="0" relativeHeight="251661312" behindDoc="0" locked="0" layoutInCell="1" allowOverlap="1" wp14:anchorId="57777B21" wp14:editId="1DBB8B8A">
            <wp:simplePos x="0" y="0"/>
            <wp:positionH relativeFrom="margin">
              <wp:posOffset>43132</wp:posOffset>
            </wp:positionH>
            <wp:positionV relativeFrom="margin">
              <wp:posOffset>-635</wp:posOffset>
            </wp:positionV>
            <wp:extent cx="5635080" cy="8521200"/>
            <wp:effectExtent l="0" t="0" r="381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35080" cy="852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295C" w:rsidRDefault="00F5295C" w:rsidP="00F5295C"/>
    <w:p w:rsidR="00F5295C" w:rsidRDefault="00F5295C" w:rsidP="00F5295C"/>
    <w:p w:rsidR="00872151" w:rsidRPr="00F5295C" w:rsidRDefault="00872151"/>
    <w:p w:rsidR="00872151" w:rsidRDefault="00872151"/>
    <w:p w:rsidR="00872151" w:rsidRDefault="00872151"/>
    <w:p w:rsidR="00F5295C" w:rsidRDefault="00F5295C"/>
    <w:p w:rsidR="00F5295C" w:rsidRDefault="00F5295C"/>
    <w:p w:rsidR="00F5295C" w:rsidRDefault="00F5295C"/>
    <w:p w:rsidR="00F5295C" w:rsidRDefault="00F5295C"/>
    <w:p w:rsidR="00F5295C" w:rsidRDefault="00F5295C"/>
    <w:p w:rsidR="00F5295C" w:rsidRDefault="00F5295C"/>
    <w:p w:rsidR="00F5295C" w:rsidRDefault="00F5295C"/>
    <w:p w:rsidR="00F5295C" w:rsidRDefault="00F5295C"/>
    <w:p w:rsidR="00F5295C" w:rsidRDefault="00F5295C"/>
    <w:p w:rsidR="00F5295C" w:rsidRDefault="00F5295C"/>
    <w:p w:rsidR="00F5295C" w:rsidRDefault="00F5295C"/>
    <w:p w:rsidR="00F5295C" w:rsidRDefault="00F5295C"/>
    <w:p w:rsidR="00F5295C" w:rsidRDefault="00F5295C"/>
    <w:p w:rsidR="00F5295C" w:rsidRDefault="00F5295C"/>
    <w:p w:rsidR="00F5295C" w:rsidRDefault="00F5295C"/>
    <w:p w:rsidR="00F5295C" w:rsidRDefault="00F5295C"/>
    <w:p w:rsidR="00F5295C" w:rsidRDefault="00F5295C"/>
    <w:p w:rsidR="00F5295C" w:rsidRDefault="00F5295C"/>
    <w:p w:rsidR="00F5295C" w:rsidRDefault="00F5295C"/>
    <w:p w:rsidR="00F5295C" w:rsidRDefault="00F5295C"/>
    <w:p w:rsidR="00F5295C" w:rsidRDefault="00F5295C"/>
    <w:p w:rsidR="00F5295C" w:rsidRDefault="00F5295C"/>
    <w:p w:rsidR="00F5295C" w:rsidRDefault="00F5295C"/>
    <w:p w:rsidR="00F5295C" w:rsidRDefault="00F5295C"/>
    <w:p w:rsidR="00F5295C" w:rsidRDefault="00F5295C"/>
    <w:p w:rsidR="00F5295C" w:rsidRDefault="00F5295C"/>
    <w:p w:rsidR="00F5295C" w:rsidRDefault="00F5295C"/>
    <w:p w:rsidR="00F5295C" w:rsidRDefault="00F5295C"/>
    <w:p w:rsidR="00F5295C" w:rsidRDefault="00F5295C"/>
    <w:p w:rsidR="00F5295C" w:rsidRDefault="00F5295C"/>
    <w:p w:rsidR="00F5295C" w:rsidRDefault="00F5295C"/>
    <w:p w:rsidR="00F5295C" w:rsidRDefault="00F5295C"/>
    <w:p w:rsidR="00F5295C" w:rsidRDefault="00F5295C"/>
    <w:p w:rsidR="00F5295C" w:rsidRDefault="00F5295C"/>
    <w:p w:rsidR="00F5295C" w:rsidRDefault="00F5295C"/>
    <w:p w:rsidR="00F5295C" w:rsidRDefault="00F5295C"/>
    <w:p w:rsidR="00F5295C" w:rsidRDefault="00F5295C"/>
    <w:p w:rsidR="00F5295C" w:rsidRDefault="00F5295C"/>
    <w:p w:rsidR="00F5295C" w:rsidRDefault="00F5295C"/>
    <w:p w:rsidR="00F5295C" w:rsidRDefault="00F5295C"/>
    <w:p w:rsidR="00F5295C" w:rsidRDefault="00F5295C"/>
    <w:p w:rsidR="00F5295C" w:rsidRDefault="00F5295C"/>
    <w:p w:rsidR="00F5295C" w:rsidRDefault="00F5295C"/>
    <w:p w:rsidR="00F5295C" w:rsidRDefault="00F5295C" w:rsidP="00F5295C">
      <w:pPr>
        <w:pStyle w:val="ae"/>
      </w:pPr>
      <w:r>
        <w:rPr>
          <w:rFonts w:hint="eastAsia"/>
        </w:rPr>
        <w:t xml:space="preserve">図　</w:t>
      </w:r>
      <w:r w:rsidRPr="00F5295C">
        <w:rPr>
          <w:rFonts w:hint="eastAsia"/>
        </w:rPr>
        <w:t>圏域内の水素利活用拡大のシナリオ想定</w:t>
      </w:r>
    </w:p>
    <w:sectPr w:rsidR="00F5295C">
      <w:headerReference w:type="even" r:id="rId8"/>
      <w:headerReference w:type="default" r:id="rId9"/>
      <w:footerReference w:type="even" r:id="rId10"/>
      <w:footerReference w:type="default" r:id="rId11"/>
      <w:headerReference w:type="first" r:id="rId12"/>
      <w:footerReference w:type="first" r:id="rId13"/>
      <w:pgSz w:w="11906" w:h="16838" w:code="9"/>
      <w:pgMar w:top="1418" w:right="1418" w:bottom="1418" w:left="1418" w:header="284" w:footer="62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2151" w:rsidRDefault="00872151">
      <w:r>
        <w:separator/>
      </w:r>
    </w:p>
  </w:endnote>
  <w:endnote w:type="continuationSeparator" w:id="0">
    <w:p w:rsidR="00872151" w:rsidRDefault="00872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6B1" w:rsidRDefault="004D66B1">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5579210"/>
      <w:docPartObj>
        <w:docPartGallery w:val="Page Numbers (Bottom of Page)"/>
        <w:docPartUnique/>
      </w:docPartObj>
    </w:sdtPr>
    <w:sdtEndPr>
      <w:rPr>
        <w:sz w:val="21"/>
        <w:szCs w:val="21"/>
      </w:rPr>
    </w:sdtEndPr>
    <w:sdtContent>
      <w:p w:rsidR="0004392C" w:rsidRPr="0004392C" w:rsidRDefault="0004392C">
        <w:pPr>
          <w:pStyle w:val="a8"/>
          <w:jc w:val="center"/>
          <w:rPr>
            <w:sz w:val="21"/>
            <w:szCs w:val="21"/>
          </w:rPr>
        </w:pPr>
        <w:r w:rsidRPr="0004392C">
          <w:rPr>
            <w:sz w:val="21"/>
            <w:szCs w:val="21"/>
          </w:rPr>
          <w:fldChar w:fldCharType="begin"/>
        </w:r>
        <w:r w:rsidRPr="0004392C">
          <w:rPr>
            <w:sz w:val="21"/>
            <w:szCs w:val="21"/>
          </w:rPr>
          <w:instrText>PAGE   \* MERGEFORMAT</w:instrText>
        </w:r>
        <w:r w:rsidRPr="0004392C">
          <w:rPr>
            <w:sz w:val="21"/>
            <w:szCs w:val="21"/>
          </w:rPr>
          <w:fldChar w:fldCharType="separate"/>
        </w:r>
        <w:r w:rsidR="009E65C6" w:rsidRPr="009E65C6">
          <w:rPr>
            <w:noProof/>
            <w:sz w:val="21"/>
            <w:szCs w:val="21"/>
            <w:lang w:val="ja-JP"/>
          </w:rPr>
          <w:t>1</w:t>
        </w:r>
        <w:r w:rsidRPr="0004392C">
          <w:rPr>
            <w:sz w:val="21"/>
            <w:szCs w:val="21"/>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6B1" w:rsidRDefault="004D66B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2151" w:rsidRDefault="00872151">
      <w:r>
        <w:separator/>
      </w:r>
    </w:p>
  </w:footnote>
  <w:footnote w:type="continuationSeparator" w:id="0">
    <w:p w:rsidR="00872151" w:rsidRDefault="008721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6B1" w:rsidRDefault="004D66B1">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152" w:rsidRDefault="00066152">
    <w:pPr>
      <w:pStyle w:val="a7"/>
      <w:jc w:val="right"/>
      <w:rPr>
        <w:sz w:val="12"/>
      </w:rPr>
    </w:pPr>
  </w:p>
  <w:p w:rsidR="00066152" w:rsidRDefault="00066152">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152" w:rsidRDefault="00066152">
    <w:pPr>
      <w:pStyle w:val="a7"/>
      <w:jc w:val="right"/>
    </w:pPr>
    <w:r>
      <w:rPr>
        <w:rFonts w:hAnsi="Times New Roman"/>
        <w:kern w:val="0"/>
      </w:rPr>
      <w:fldChar w:fldCharType="begin"/>
    </w:r>
    <w:r>
      <w:rPr>
        <w:rFonts w:hAnsi="Times New Roman"/>
        <w:kern w:val="0"/>
      </w:rPr>
      <w:instrText xml:space="preserve"> FILENAME \p </w:instrText>
    </w:r>
    <w:r>
      <w:rPr>
        <w:rFonts w:hAnsi="Times New Roman"/>
        <w:kern w:val="0"/>
      </w:rPr>
      <w:fldChar w:fldCharType="separate"/>
    </w:r>
    <w:r w:rsidR="009E65C6">
      <w:rPr>
        <w:rFonts w:hAnsi="Times New Roman" w:hint="eastAsia"/>
        <w:noProof/>
        <w:kern w:val="0"/>
      </w:rPr>
      <w:t>\\T1412ss0060\LIB\06 関西広域連合\30年度\02_エネルギー検討会\02_地方創生推進交付金\☆業務報告書の納品\成果品(2019.3.15提出)\1 調査報告書\Ⅰ 本編\2_報告書 はじめに.docx</w:t>
    </w:r>
    <w:r>
      <w:rPr>
        <w:rFonts w:hAnsi="Times New Roman"/>
        <w:kern w:val="0"/>
      </w:rPr>
      <w:fldChar w:fldCharType="end"/>
    </w:r>
    <w:r>
      <w:rPr>
        <w:rFonts w:hint="eastAsia"/>
      </w:rPr>
      <w:t xml:space="preserve">　</w:t>
    </w:r>
    <w:r>
      <w:rPr>
        <w:rStyle w:val="af"/>
        <w:sz w:val="15"/>
      </w:rPr>
      <w:fldChar w:fldCharType="begin"/>
    </w:r>
    <w:r>
      <w:rPr>
        <w:rStyle w:val="af"/>
        <w:sz w:val="15"/>
      </w:rPr>
      <w:instrText xml:space="preserve"> PAGE </w:instrText>
    </w:r>
    <w:r>
      <w:rPr>
        <w:rStyle w:val="af"/>
        <w:sz w:val="15"/>
      </w:rPr>
      <w:fldChar w:fldCharType="separate"/>
    </w:r>
    <w:r>
      <w:rPr>
        <w:rStyle w:val="af"/>
        <w:noProof/>
        <w:sz w:val="15"/>
      </w:rPr>
      <w:t>1</w:t>
    </w:r>
    <w:r>
      <w:rPr>
        <w:rStyle w:val="af"/>
        <w:sz w:val="15"/>
      </w:rPr>
      <w:fldChar w:fldCharType="end"/>
    </w:r>
    <w:r>
      <w:rPr>
        <w:rStyle w:val="af"/>
        <w:rFonts w:hint="eastAsia"/>
        <w:sz w:val="15"/>
      </w:rPr>
      <w:t>/</w:t>
    </w:r>
    <w:r>
      <w:rPr>
        <w:rStyle w:val="af"/>
        <w:sz w:val="15"/>
      </w:rPr>
      <w:fldChar w:fldCharType="begin"/>
    </w:r>
    <w:r>
      <w:rPr>
        <w:rStyle w:val="af"/>
        <w:sz w:val="15"/>
      </w:rPr>
      <w:instrText xml:space="preserve"> NUMPAGES </w:instrText>
    </w:r>
    <w:r>
      <w:rPr>
        <w:rStyle w:val="af"/>
        <w:sz w:val="15"/>
      </w:rPr>
      <w:fldChar w:fldCharType="separate"/>
    </w:r>
    <w:r w:rsidR="009E65C6">
      <w:rPr>
        <w:rStyle w:val="af"/>
        <w:noProof/>
        <w:sz w:val="15"/>
      </w:rPr>
      <w:t>3</w:t>
    </w:r>
    <w:r>
      <w:rPr>
        <w:rStyle w:val="af"/>
        <w:sz w:val="15"/>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B3705A"/>
    <w:multiLevelType w:val="singleLevel"/>
    <w:tmpl w:val="0B8EC3BE"/>
    <w:lvl w:ilvl="0">
      <w:start w:val="1"/>
      <w:numFmt w:val="bullet"/>
      <w:pStyle w:val="PT3"/>
      <w:lvlText w:val=""/>
      <w:lvlJc w:val="left"/>
      <w:pPr>
        <w:tabs>
          <w:tab w:val="num" w:pos="360"/>
        </w:tabs>
        <w:ind w:left="204" w:hanging="204"/>
      </w:pPr>
      <w:rPr>
        <w:rFonts w:ascii="Wingdings" w:hAnsi="Wingdings" w:hint="default"/>
        <w:sz w:val="16"/>
      </w:rPr>
    </w:lvl>
  </w:abstractNum>
  <w:abstractNum w:abstractNumId="2" w15:restartNumberingAfterBreak="0">
    <w:nsid w:val="13322A59"/>
    <w:multiLevelType w:val="singleLevel"/>
    <w:tmpl w:val="FF90F740"/>
    <w:lvl w:ilvl="0">
      <w:start w:val="1"/>
      <w:numFmt w:val="bullet"/>
      <w:pStyle w:val="PT30"/>
      <w:lvlText w:val=""/>
      <w:lvlJc w:val="left"/>
      <w:pPr>
        <w:tabs>
          <w:tab w:val="num" w:pos="360"/>
        </w:tabs>
        <w:ind w:left="204" w:hanging="204"/>
      </w:pPr>
      <w:rPr>
        <w:rFonts w:ascii="Wingdings" w:hAnsi="Wingdings" w:hint="default"/>
        <w:sz w:val="14"/>
      </w:rPr>
    </w:lvl>
  </w:abstractNum>
  <w:abstractNum w:abstractNumId="3" w15:restartNumberingAfterBreak="0">
    <w:nsid w:val="1B717A2A"/>
    <w:multiLevelType w:val="singleLevel"/>
    <w:tmpl w:val="468E201C"/>
    <w:lvl w:ilvl="0">
      <w:start w:val="1"/>
      <w:numFmt w:val="bullet"/>
      <w:lvlText w:val=""/>
      <w:lvlJc w:val="left"/>
      <w:pPr>
        <w:tabs>
          <w:tab w:val="num" w:pos="0"/>
        </w:tabs>
        <w:ind w:left="1072" w:hanging="204"/>
      </w:pPr>
      <w:rPr>
        <w:rFonts w:ascii="Wingdings" w:hAnsi="Wingdings" w:hint="default"/>
        <w:sz w:val="14"/>
      </w:rPr>
    </w:lvl>
  </w:abstractNum>
  <w:abstractNum w:abstractNumId="4" w15:restartNumberingAfterBreak="0">
    <w:nsid w:val="1F815220"/>
    <w:multiLevelType w:val="singleLevel"/>
    <w:tmpl w:val="F4923E94"/>
    <w:lvl w:ilvl="0">
      <w:start w:val="1"/>
      <w:numFmt w:val="bullet"/>
      <w:pStyle w:val="A"/>
      <w:lvlText w:val=""/>
      <w:lvlJc w:val="left"/>
      <w:pPr>
        <w:tabs>
          <w:tab w:val="num" w:pos="0"/>
        </w:tabs>
        <w:ind w:left="1072" w:hanging="204"/>
      </w:pPr>
      <w:rPr>
        <w:rFonts w:ascii="Wingdings" w:hAnsi="Wingdings" w:hint="default"/>
        <w:sz w:val="14"/>
      </w:rPr>
    </w:lvl>
  </w:abstractNum>
  <w:abstractNum w:abstractNumId="5" w15:restartNumberingAfterBreak="0">
    <w:nsid w:val="47B41329"/>
    <w:multiLevelType w:val="singleLevel"/>
    <w:tmpl w:val="B73AD250"/>
    <w:lvl w:ilvl="0">
      <w:start w:val="1"/>
      <w:numFmt w:val="bullet"/>
      <w:lvlText w:val=""/>
      <w:lvlJc w:val="left"/>
      <w:pPr>
        <w:tabs>
          <w:tab w:val="num" w:pos="2469"/>
        </w:tabs>
        <w:ind w:left="2313" w:hanging="204"/>
      </w:pPr>
      <w:rPr>
        <w:rFonts w:ascii="Symbol" w:hAnsi="Symbol" w:hint="default"/>
      </w:rPr>
    </w:lvl>
  </w:abstractNum>
  <w:abstractNum w:abstractNumId="6" w15:restartNumberingAfterBreak="0">
    <w:nsid w:val="6503773E"/>
    <w:multiLevelType w:val="singleLevel"/>
    <w:tmpl w:val="ACE8B2F4"/>
    <w:lvl w:ilvl="0">
      <w:start w:val="1"/>
      <w:numFmt w:val="bullet"/>
      <w:lvlText w:val=""/>
      <w:lvlJc w:val="left"/>
      <w:pPr>
        <w:tabs>
          <w:tab w:val="num" w:pos="2469"/>
        </w:tabs>
        <w:ind w:left="2313" w:hanging="204"/>
      </w:pPr>
      <w:rPr>
        <w:rFonts w:ascii="Wingdings" w:hAnsi="Wingdings" w:hint="default"/>
        <w:sz w:val="14"/>
      </w:rPr>
    </w:lvl>
  </w:abstractNum>
  <w:abstractNum w:abstractNumId="7" w15:restartNumberingAfterBreak="0">
    <w:nsid w:val="66B90B94"/>
    <w:multiLevelType w:val="singleLevel"/>
    <w:tmpl w:val="99003438"/>
    <w:lvl w:ilvl="0">
      <w:start w:val="1"/>
      <w:numFmt w:val="bullet"/>
      <w:lvlText w:val=""/>
      <w:lvlJc w:val="left"/>
      <w:pPr>
        <w:tabs>
          <w:tab w:val="num" w:pos="2469"/>
        </w:tabs>
        <w:ind w:left="2313" w:hanging="204"/>
      </w:pPr>
      <w:rPr>
        <w:rFonts w:ascii="Wingdings" w:hAnsi="Wingdings" w:hint="default"/>
        <w:sz w:val="14"/>
      </w:rPr>
    </w:lvl>
  </w:abstractNum>
  <w:abstractNum w:abstractNumId="8" w15:restartNumberingAfterBreak="0">
    <w:nsid w:val="6B72514B"/>
    <w:multiLevelType w:val="singleLevel"/>
    <w:tmpl w:val="25D82E78"/>
    <w:lvl w:ilvl="0">
      <w:start w:val="1"/>
      <w:numFmt w:val="bullet"/>
      <w:lvlText w:val=""/>
      <w:lvlJc w:val="left"/>
      <w:pPr>
        <w:tabs>
          <w:tab w:val="num" w:pos="2055"/>
        </w:tabs>
        <w:ind w:left="1900" w:hanging="205"/>
      </w:pPr>
      <w:rPr>
        <w:rFonts w:ascii="Wingdings" w:hAnsi="Wingdings" w:hint="default"/>
        <w:sz w:val="14"/>
      </w:rPr>
    </w:lvl>
  </w:abstractNum>
  <w:abstractNum w:abstractNumId="9" w15:restartNumberingAfterBreak="0">
    <w:nsid w:val="772D481D"/>
    <w:multiLevelType w:val="singleLevel"/>
    <w:tmpl w:val="E51CF21E"/>
    <w:lvl w:ilvl="0">
      <w:start w:val="1"/>
      <w:numFmt w:val="bullet"/>
      <w:pStyle w:val="B"/>
      <w:lvlText w:val=""/>
      <w:lvlJc w:val="left"/>
      <w:pPr>
        <w:tabs>
          <w:tab w:val="num" w:pos="1641"/>
        </w:tabs>
        <w:ind w:left="1486" w:hanging="205"/>
      </w:pPr>
      <w:rPr>
        <w:rFonts w:ascii="Wingdings" w:hAnsi="Wingdings" w:hint="default"/>
        <w:sz w:val="14"/>
      </w:rPr>
    </w:lvl>
  </w:abstractNum>
  <w:num w:numId="1">
    <w:abstractNumId w:val="4"/>
  </w:num>
  <w:num w:numId="2">
    <w:abstractNumId w:val="3"/>
  </w:num>
  <w:num w:numId="3">
    <w:abstractNumId w:val="8"/>
  </w:num>
  <w:num w:numId="4">
    <w:abstractNumId w:val="7"/>
  </w:num>
  <w:num w:numId="5">
    <w:abstractNumId w:val="0"/>
    <w:lvlOverride w:ilvl="0">
      <w:lvl w:ilvl="0">
        <w:start w:val="1"/>
        <w:numFmt w:val="bullet"/>
        <w:lvlText w:val=""/>
        <w:legacy w:legacy="1" w:legacySpace="0" w:legacyIndent="170"/>
        <w:lvlJc w:val="left"/>
        <w:pPr>
          <w:ind w:left="170" w:hanging="170"/>
        </w:pPr>
        <w:rPr>
          <w:rFonts w:ascii="Courier" w:hAnsi="Courier" w:hint="default"/>
          <w:sz w:val="14"/>
        </w:rPr>
      </w:lvl>
    </w:lvlOverride>
  </w:num>
  <w:num w:numId="6">
    <w:abstractNumId w:val="0"/>
    <w:lvlOverride w:ilvl="0">
      <w:lvl w:ilvl="0">
        <w:start w:val="1"/>
        <w:numFmt w:val="bullet"/>
        <w:lvlText w:val=""/>
        <w:legacy w:legacy="1" w:legacySpace="0" w:legacyIndent="170"/>
        <w:lvlJc w:val="left"/>
        <w:pPr>
          <w:ind w:left="170" w:hanging="170"/>
        </w:pPr>
        <w:rPr>
          <w:rFonts w:ascii="Geneva" w:hAnsi="Geneva" w:hint="default"/>
          <w:sz w:val="22"/>
        </w:rPr>
      </w:lvl>
    </w:lvlOverride>
  </w:num>
  <w:num w:numId="7">
    <w:abstractNumId w:val="1"/>
  </w:num>
  <w:num w:numId="8">
    <w:abstractNumId w:val="2"/>
  </w:num>
  <w:num w:numId="9">
    <w:abstractNumId w:val="1"/>
  </w:num>
  <w:num w:numId="10">
    <w:abstractNumId w:val="2"/>
  </w:num>
  <w:num w:numId="11">
    <w:abstractNumId w:val="1"/>
  </w:num>
  <w:num w:numId="12">
    <w:abstractNumId w:val="1"/>
  </w:num>
  <w:num w:numId="13">
    <w:abstractNumId w:val="1"/>
  </w:num>
  <w:num w:numId="14">
    <w:abstractNumId w:val="2"/>
  </w:num>
  <w:num w:numId="15">
    <w:abstractNumId w:val="1"/>
  </w:num>
  <w:num w:numId="16">
    <w:abstractNumId w:val="2"/>
  </w:num>
  <w:num w:numId="17">
    <w:abstractNumId w:val="1"/>
  </w:num>
  <w:num w:numId="18">
    <w:abstractNumId w:val="2"/>
  </w:num>
  <w:num w:numId="19">
    <w:abstractNumId w:val="1"/>
  </w:num>
  <w:num w:numId="20">
    <w:abstractNumId w:val="4"/>
  </w:num>
  <w:num w:numId="21">
    <w:abstractNumId w:val="3"/>
  </w:num>
  <w:num w:numId="22">
    <w:abstractNumId w:val="8"/>
  </w:num>
  <w:num w:numId="23">
    <w:abstractNumId w:val="9"/>
  </w:num>
  <w:num w:numId="24">
    <w:abstractNumId w:val="8"/>
  </w:num>
  <w:num w:numId="25">
    <w:abstractNumId w:val="8"/>
  </w:num>
  <w:num w:numId="26">
    <w:abstractNumId w:val="7"/>
  </w:num>
  <w:num w:numId="27">
    <w:abstractNumId w:val="5"/>
  </w:num>
  <w:num w:numId="28">
    <w:abstractNumId w:val="6"/>
  </w:num>
  <w:num w:numId="29">
    <w:abstractNumId w:val="6"/>
  </w:num>
  <w:num w:numId="30">
    <w:abstractNumId w:val="4"/>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284"/>
  <w:drawingGridVerticalSpacing w:val="283"/>
  <w:characterSpacingControl w:val="compressPunctuation"/>
  <w:strictFirstAndLastChars/>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151"/>
    <w:rsid w:val="0004392C"/>
    <w:rsid w:val="00066152"/>
    <w:rsid w:val="000E2BDF"/>
    <w:rsid w:val="002E1BC6"/>
    <w:rsid w:val="004D66B1"/>
    <w:rsid w:val="00813A46"/>
    <w:rsid w:val="00826D96"/>
    <w:rsid w:val="00872151"/>
    <w:rsid w:val="009E65C6"/>
    <w:rsid w:val="00CA669D"/>
    <w:rsid w:val="00F5295C"/>
    <w:rsid w:val="00FA06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rFonts w:ascii="ＭＳ 明朝"/>
      <w:kern w:val="2"/>
      <w:sz w:val="21"/>
    </w:rPr>
  </w:style>
  <w:style w:type="paragraph" w:styleId="1">
    <w:name w:val="heading 1"/>
    <w:basedOn w:val="jes"/>
    <w:next w:val="10"/>
    <w:qFormat/>
    <w:pPr>
      <w:keepNext/>
      <w:autoSpaceDE w:val="0"/>
      <w:autoSpaceDN w:val="0"/>
      <w:spacing w:before="60" w:line="420" w:lineRule="atLeast"/>
      <w:textAlignment w:val="baseline"/>
      <w:outlineLvl w:val="0"/>
    </w:pPr>
    <w:rPr>
      <w:rFonts w:ascii="ＭＳ ゴシック" w:eastAsia="ＭＳ ゴシック"/>
      <w:kern w:val="0"/>
    </w:rPr>
  </w:style>
  <w:style w:type="paragraph" w:styleId="2">
    <w:name w:val="heading 2"/>
    <w:basedOn w:val="jes"/>
    <w:next w:val="20"/>
    <w:qFormat/>
    <w:pPr>
      <w:keepNext/>
      <w:autoSpaceDE w:val="0"/>
      <w:autoSpaceDN w:val="0"/>
      <w:spacing w:before="60" w:line="420" w:lineRule="atLeast"/>
      <w:ind w:left="210"/>
      <w:textAlignment w:val="baseline"/>
      <w:outlineLvl w:val="1"/>
    </w:pPr>
    <w:rPr>
      <w:rFonts w:ascii="ＭＳ ゴシック" w:eastAsia="ＭＳ ゴシック"/>
      <w:kern w:val="0"/>
    </w:rPr>
  </w:style>
  <w:style w:type="paragraph" w:styleId="3">
    <w:name w:val="heading 3"/>
    <w:basedOn w:val="jes"/>
    <w:next w:val="30"/>
    <w:qFormat/>
    <w:pPr>
      <w:keepNext/>
      <w:autoSpaceDE w:val="0"/>
      <w:autoSpaceDN w:val="0"/>
      <w:spacing w:before="60" w:line="420" w:lineRule="atLeast"/>
      <w:ind w:left="527"/>
      <w:textAlignment w:val="baseline"/>
      <w:outlineLvl w:val="2"/>
    </w:pPr>
    <w:rPr>
      <w:rFonts w:ascii="ＭＳ ゴシック" w:eastAsia="ＭＳ ゴシック"/>
      <w:kern w:val="0"/>
    </w:rPr>
  </w:style>
  <w:style w:type="paragraph" w:styleId="4">
    <w:name w:val="heading 4"/>
    <w:basedOn w:val="jes"/>
    <w:next w:val="40"/>
    <w:qFormat/>
    <w:pPr>
      <w:autoSpaceDE w:val="0"/>
      <w:autoSpaceDN w:val="0"/>
      <w:spacing w:before="60" w:line="420" w:lineRule="atLeast"/>
      <w:ind w:left="845"/>
      <w:textAlignment w:val="baseline"/>
      <w:outlineLvl w:val="3"/>
    </w:pPr>
    <w:rPr>
      <w:rFonts w:ascii="ＭＳ ゴシック" w:eastAsia="ＭＳ ゴシック"/>
      <w:kern w:val="0"/>
    </w:rPr>
  </w:style>
  <w:style w:type="paragraph" w:styleId="5">
    <w:name w:val="heading 5"/>
    <w:basedOn w:val="jes"/>
    <w:next w:val="50"/>
    <w:qFormat/>
    <w:pPr>
      <w:keepNext/>
      <w:autoSpaceDE w:val="0"/>
      <w:autoSpaceDN w:val="0"/>
      <w:spacing w:before="60" w:line="420" w:lineRule="atLeast"/>
      <w:ind w:left="1162"/>
      <w:textAlignment w:val="baseline"/>
      <w:outlineLvl w:val="4"/>
    </w:pPr>
    <w:rPr>
      <w:rFonts w:ascii="ＭＳ ゴシック" w:eastAsia="ＭＳ ゴシック" w:hAnsi="Arial"/>
      <w:kern w:val="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next w:val="40"/>
    <w:qFormat/>
    <w:pPr>
      <w:autoSpaceDE w:val="0"/>
      <w:autoSpaceDN w:val="0"/>
      <w:adjustRightInd w:val="0"/>
      <w:snapToGrid w:val="0"/>
      <w:spacing w:before="120" w:after="120" w:line="400" w:lineRule="atLeast"/>
      <w:ind w:left="851"/>
      <w:jc w:val="left"/>
      <w:textAlignment w:val="bottom"/>
    </w:pPr>
    <w:rPr>
      <w:rFonts w:ascii="ＭＳ ゴシック" w:eastAsia="ＭＳ ゴシック"/>
      <w:kern w:val="0"/>
    </w:rPr>
  </w:style>
  <w:style w:type="paragraph" w:customStyle="1" w:styleId="PT30">
    <w:name w:val="表PT3"/>
    <w:basedOn w:val="a0"/>
    <w:pPr>
      <w:numPr>
        <w:numId w:val="18"/>
      </w:numPr>
      <w:tabs>
        <w:tab w:val="clear" w:pos="360"/>
      </w:tabs>
      <w:autoSpaceDE w:val="0"/>
      <w:autoSpaceDN w:val="0"/>
      <w:adjustRightInd w:val="0"/>
      <w:snapToGrid w:val="0"/>
      <w:spacing w:before="60"/>
      <w:jc w:val="left"/>
      <w:textAlignment w:val="center"/>
    </w:pPr>
    <w:rPr>
      <w:kern w:val="0"/>
      <w:sz w:val="20"/>
    </w:rPr>
  </w:style>
  <w:style w:type="paragraph" w:customStyle="1" w:styleId="PT3">
    <w:name w:val="表PT3"/>
    <w:basedOn w:val="a0"/>
    <w:pPr>
      <w:numPr>
        <w:numId w:val="19"/>
      </w:numPr>
      <w:tabs>
        <w:tab w:val="clear" w:pos="360"/>
      </w:tabs>
      <w:autoSpaceDE w:val="0"/>
      <w:autoSpaceDN w:val="0"/>
      <w:adjustRightInd w:val="0"/>
      <w:snapToGrid w:val="0"/>
      <w:spacing w:before="60"/>
      <w:jc w:val="left"/>
      <w:textAlignment w:val="center"/>
    </w:pPr>
    <w:rPr>
      <w:kern w:val="0"/>
      <w:sz w:val="20"/>
    </w:rPr>
  </w:style>
  <w:style w:type="paragraph" w:customStyle="1" w:styleId="a5">
    <w:name w:val="表１"/>
    <w:basedOn w:val="a0"/>
    <w:pPr>
      <w:autoSpaceDE w:val="0"/>
      <w:autoSpaceDN w:val="0"/>
      <w:adjustRightInd w:val="0"/>
      <w:snapToGrid w:val="0"/>
      <w:spacing w:before="60" w:after="60"/>
      <w:textAlignment w:val="baseline"/>
    </w:pPr>
    <w:rPr>
      <w:kern w:val="0"/>
      <w:sz w:val="20"/>
    </w:rPr>
  </w:style>
  <w:style w:type="paragraph" w:customStyle="1" w:styleId="a6">
    <w:name w:val="表２"/>
    <w:basedOn w:val="a5"/>
    <w:pPr>
      <w:spacing w:before="40" w:after="40"/>
    </w:pPr>
  </w:style>
  <w:style w:type="paragraph" w:customStyle="1" w:styleId="PT31">
    <w:name w:val="表PT3ｺﾞ"/>
    <w:basedOn w:val="a0"/>
    <w:pPr>
      <w:autoSpaceDE w:val="0"/>
      <w:autoSpaceDN w:val="0"/>
      <w:adjustRightInd w:val="0"/>
      <w:snapToGrid w:val="0"/>
      <w:spacing w:before="60" w:after="60"/>
      <w:jc w:val="left"/>
      <w:textAlignment w:val="bottom"/>
    </w:pPr>
    <w:rPr>
      <w:rFonts w:ascii="ＭＳ ゴシック" w:eastAsia="ＭＳ ゴシック"/>
      <w:kern w:val="0"/>
      <w:sz w:val="20"/>
    </w:rPr>
  </w:style>
  <w:style w:type="paragraph" w:styleId="a7">
    <w:name w:val="header"/>
    <w:basedOn w:val="a0"/>
    <w:pPr>
      <w:tabs>
        <w:tab w:val="center" w:pos="4252"/>
        <w:tab w:val="right" w:pos="8504"/>
      </w:tabs>
      <w:adjustRightInd w:val="0"/>
      <w:snapToGrid w:val="0"/>
    </w:pPr>
    <w:rPr>
      <w:sz w:val="15"/>
    </w:rPr>
  </w:style>
  <w:style w:type="paragraph" w:styleId="a8">
    <w:name w:val="footer"/>
    <w:basedOn w:val="a0"/>
    <w:link w:val="a9"/>
    <w:uiPriority w:val="99"/>
    <w:pPr>
      <w:tabs>
        <w:tab w:val="center" w:pos="4252"/>
        <w:tab w:val="right" w:pos="8504"/>
      </w:tabs>
      <w:adjustRightInd w:val="0"/>
      <w:snapToGrid w:val="0"/>
    </w:pPr>
    <w:rPr>
      <w:sz w:val="15"/>
    </w:rPr>
  </w:style>
  <w:style w:type="paragraph" w:customStyle="1" w:styleId="A">
    <w:name w:val="箇条書き A"/>
    <w:basedOn w:val="a0"/>
    <w:pPr>
      <w:numPr>
        <w:numId w:val="31"/>
      </w:numPr>
      <w:autoSpaceDE w:val="0"/>
      <w:autoSpaceDN w:val="0"/>
      <w:adjustRightInd w:val="0"/>
      <w:snapToGrid w:val="0"/>
      <w:spacing w:line="420" w:lineRule="atLeast"/>
      <w:textAlignment w:val="center"/>
    </w:pPr>
    <w:rPr>
      <w:kern w:val="0"/>
    </w:rPr>
  </w:style>
  <w:style w:type="paragraph" w:customStyle="1" w:styleId="B">
    <w:name w:val="箇条書き B"/>
    <w:basedOn w:val="a0"/>
    <w:pPr>
      <w:numPr>
        <w:numId w:val="23"/>
      </w:numPr>
      <w:tabs>
        <w:tab w:val="clear" w:pos="1641"/>
      </w:tabs>
      <w:autoSpaceDE w:val="0"/>
      <w:autoSpaceDN w:val="0"/>
      <w:adjustRightInd w:val="0"/>
      <w:snapToGrid w:val="0"/>
      <w:spacing w:line="420" w:lineRule="atLeast"/>
      <w:ind w:left="1485" w:hanging="204"/>
      <w:textAlignment w:val="center"/>
    </w:pPr>
    <w:rPr>
      <w:kern w:val="0"/>
    </w:rPr>
  </w:style>
  <w:style w:type="paragraph" w:styleId="aa">
    <w:name w:val="Document Map"/>
    <w:basedOn w:val="a0"/>
    <w:semiHidden/>
    <w:pPr>
      <w:shd w:val="clear" w:color="auto" w:fill="000080"/>
    </w:pPr>
    <w:rPr>
      <w:rFonts w:ascii="Arial" w:eastAsia="ＭＳ ゴシック" w:hAnsi="Arial"/>
    </w:rPr>
  </w:style>
  <w:style w:type="paragraph" w:customStyle="1" w:styleId="ab">
    <w:name w:val="目次１"/>
    <w:basedOn w:val="a0"/>
    <w:pPr>
      <w:tabs>
        <w:tab w:val="left" w:leader="middleDot" w:pos="8618"/>
        <w:tab w:val="right" w:pos="9072"/>
      </w:tabs>
      <w:adjustRightInd w:val="0"/>
      <w:snapToGrid w:val="0"/>
      <w:spacing w:before="60" w:line="420" w:lineRule="atLeast"/>
      <w:ind w:left="851"/>
    </w:pPr>
    <w:rPr>
      <w:rFonts w:ascii="ＭＳ ゴシック" w:eastAsia="ＭＳ ゴシック"/>
    </w:rPr>
  </w:style>
  <w:style w:type="paragraph" w:customStyle="1" w:styleId="10">
    <w:name w:val="見出し 1 文章"/>
    <w:basedOn w:val="a0"/>
    <w:pPr>
      <w:autoSpaceDE w:val="0"/>
      <w:autoSpaceDN w:val="0"/>
      <w:adjustRightInd w:val="0"/>
      <w:snapToGrid w:val="0"/>
      <w:spacing w:line="420" w:lineRule="atLeast"/>
      <w:ind w:left="210" w:firstLine="210"/>
      <w:textAlignment w:val="baseline"/>
    </w:pPr>
    <w:rPr>
      <w:kern w:val="0"/>
    </w:rPr>
  </w:style>
  <w:style w:type="paragraph" w:customStyle="1" w:styleId="20">
    <w:name w:val="見出し 2 文章"/>
    <w:basedOn w:val="a0"/>
    <w:pPr>
      <w:autoSpaceDE w:val="0"/>
      <w:autoSpaceDN w:val="0"/>
      <w:adjustRightInd w:val="0"/>
      <w:snapToGrid w:val="0"/>
      <w:spacing w:line="420" w:lineRule="atLeast"/>
      <w:ind w:left="425" w:firstLine="210"/>
      <w:textAlignment w:val="baseline"/>
    </w:pPr>
    <w:rPr>
      <w:kern w:val="0"/>
    </w:rPr>
  </w:style>
  <w:style w:type="paragraph" w:styleId="ac">
    <w:name w:val="Normal Indent"/>
    <w:basedOn w:val="a0"/>
    <w:pPr>
      <w:ind w:left="851"/>
    </w:pPr>
  </w:style>
  <w:style w:type="paragraph" w:customStyle="1" w:styleId="30">
    <w:name w:val="見出し 3 文章"/>
    <w:basedOn w:val="a0"/>
    <w:pPr>
      <w:autoSpaceDE w:val="0"/>
      <w:autoSpaceDN w:val="0"/>
      <w:adjustRightInd w:val="0"/>
      <w:snapToGrid w:val="0"/>
      <w:spacing w:line="420" w:lineRule="atLeast"/>
      <w:ind w:left="714" w:firstLine="210"/>
      <w:textAlignment w:val="baseline"/>
    </w:pPr>
    <w:rPr>
      <w:kern w:val="0"/>
    </w:rPr>
  </w:style>
  <w:style w:type="paragraph" w:customStyle="1" w:styleId="40">
    <w:name w:val="見出し 4 文章"/>
    <w:basedOn w:val="a0"/>
    <w:pPr>
      <w:autoSpaceDE w:val="0"/>
      <w:autoSpaceDN w:val="0"/>
      <w:adjustRightInd w:val="0"/>
      <w:snapToGrid w:val="0"/>
      <w:spacing w:line="420" w:lineRule="atLeast"/>
      <w:ind w:left="1055" w:firstLine="210"/>
      <w:textAlignment w:val="baseline"/>
    </w:pPr>
    <w:rPr>
      <w:kern w:val="0"/>
    </w:rPr>
  </w:style>
  <w:style w:type="paragraph" w:customStyle="1" w:styleId="50">
    <w:name w:val="見出し 5 文章"/>
    <w:basedOn w:val="a0"/>
    <w:pPr>
      <w:autoSpaceDE w:val="0"/>
      <w:autoSpaceDN w:val="0"/>
      <w:adjustRightInd w:val="0"/>
      <w:snapToGrid w:val="0"/>
      <w:spacing w:line="420" w:lineRule="atLeast"/>
      <w:ind w:left="1361" w:firstLine="210"/>
      <w:textAlignment w:val="baseline"/>
    </w:pPr>
    <w:rPr>
      <w:kern w:val="0"/>
    </w:rPr>
  </w:style>
  <w:style w:type="paragraph" w:customStyle="1" w:styleId="ad">
    <w:name w:val="出典"/>
    <w:basedOn w:val="a0"/>
    <w:pPr>
      <w:autoSpaceDE w:val="0"/>
      <w:autoSpaceDN w:val="0"/>
      <w:adjustRightInd w:val="0"/>
      <w:snapToGrid w:val="0"/>
      <w:spacing w:before="40" w:line="260" w:lineRule="atLeast"/>
      <w:ind w:left="4786" w:hanging="567"/>
      <w:textAlignment w:val="bottom"/>
    </w:pPr>
    <w:rPr>
      <w:kern w:val="0"/>
      <w:sz w:val="18"/>
    </w:rPr>
  </w:style>
  <w:style w:type="paragraph" w:customStyle="1" w:styleId="11">
    <w:name w:val="章題 1"/>
    <w:basedOn w:val="a0"/>
    <w:next w:val="a0"/>
    <w:pPr>
      <w:autoSpaceDE w:val="0"/>
      <w:autoSpaceDN w:val="0"/>
      <w:adjustRightInd w:val="0"/>
      <w:snapToGrid w:val="0"/>
      <w:spacing w:before="40" w:line="440" w:lineRule="atLeast"/>
      <w:textAlignment w:val="baseline"/>
    </w:pPr>
    <w:rPr>
      <w:rFonts w:ascii="ＭＳ ゴシック" w:eastAsia="ＭＳ ゴシック"/>
      <w:kern w:val="0"/>
      <w:sz w:val="24"/>
    </w:rPr>
  </w:style>
  <w:style w:type="paragraph" w:customStyle="1" w:styleId="21">
    <w:name w:val="章題 2"/>
    <w:basedOn w:val="a0"/>
    <w:next w:val="a0"/>
    <w:pPr>
      <w:autoSpaceDE w:val="0"/>
      <w:autoSpaceDN w:val="0"/>
      <w:adjustRightInd w:val="0"/>
      <w:snapToGrid w:val="0"/>
      <w:spacing w:before="60" w:line="420" w:lineRule="atLeast"/>
      <w:ind w:left="482"/>
      <w:textAlignment w:val="baseline"/>
    </w:pPr>
    <w:rPr>
      <w:rFonts w:ascii="ＭＳ ゴシック" w:eastAsia="ＭＳ ゴシック"/>
      <w:kern w:val="0"/>
      <w:sz w:val="22"/>
    </w:rPr>
  </w:style>
  <w:style w:type="paragraph" w:customStyle="1" w:styleId="31">
    <w:name w:val="章題 3"/>
    <w:basedOn w:val="11"/>
    <w:pPr>
      <w:jc w:val="center"/>
    </w:pPr>
  </w:style>
  <w:style w:type="paragraph" w:customStyle="1" w:styleId="ae">
    <w:name w:val="図番号"/>
    <w:basedOn w:val="a0"/>
    <w:next w:val="40"/>
    <w:pPr>
      <w:autoSpaceDE w:val="0"/>
      <w:autoSpaceDN w:val="0"/>
      <w:adjustRightInd w:val="0"/>
      <w:snapToGrid w:val="0"/>
      <w:spacing w:before="120" w:after="120" w:line="400" w:lineRule="atLeast"/>
      <w:jc w:val="center"/>
      <w:textAlignment w:val="bottom"/>
    </w:pPr>
    <w:rPr>
      <w:rFonts w:ascii="ＭＳ ゴシック" w:eastAsia="ＭＳ ゴシック"/>
      <w:kern w:val="0"/>
    </w:rPr>
  </w:style>
  <w:style w:type="character" w:styleId="af">
    <w:name w:val="page number"/>
    <w:basedOn w:val="a1"/>
    <w:rPr>
      <w:rFonts w:ascii="ＭＳ 明朝" w:eastAsia="ＭＳ 明朝"/>
      <w:color w:val="auto"/>
      <w:sz w:val="21"/>
    </w:rPr>
  </w:style>
  <w:style w:type="paragraph" w:customStyle="1" w:styleId="af0">
    <w:name w:val="目次２"/>
    <w:basedOn w:val="ab"/>
    <w:pPr>
      <w:spacing w:before="0"/>
      <w:ind w:left="1060"/>
    </w:pPr>
    <w:rPr>
      <w:rFonts w:ascii="ＭＳ 明朝" w:eastAsia="ＭＳ 明朝"/>
    </w:rPr>
  </w:style>
  <w:style w:type="paragraph" w:customStyle="1" w:styleId="af1">
    <w:name w:val="目次３"/>
    <w:basedOn w:val="ab"/>
    <w:pPr>
      <w:spacing w:before="0"/>
      <w:ind w:left="1270"/>
    </w:pPr>
    <w:rPr>
      <w:rFonts w:ascii="ＭＳ 明朝" w:eastAsia="ＭＳ 明朝"/>
    </w:rPr>
  </w:style>
  <w:style w:type="paragraph" w:customStyle="1" w:styleId="A20">
    <w:name w:val="箇条書き A2"/>
    <w:basedOn w:val="A"/>
    <w:pPr>
      <w:numPr>
        <w:numId w:val="0"/>
      </w:numPr>
    </w:pPr>
  </w:style>
  <w:style w:type="paragraph" w:customStyle="1" w:styleId="C">
    <w:name w:val="箇条書き C"/>
    <w:basedOn w:val="A"/>
    <w:pPr>
      <w:numPr>
        <w:numId w:val="0"/>
      </w:numPr>
    </w:pPr>
  </w:style>
  <w:style w:type="paragraph" w:customStyle="1" w:styleId="jes">
    <w:name w:val="標準jes"/>
    <w:basedOn w:val="a0"/>
    <w:pPr>
      <w:adjustRightInd w:val="0"/>
      <w:snapToGrid w:val="0"/>
      <w:spacing w:line="360" w:lineRule="atLeast"/>
    </w:pPr>
  </w:style>
  <w:style w:type="character" w:customStyle="1" w:styleId="a9">
    <w:name w:val="フッター (文字)"/>
    <w:basedOn w:val="a1"/>
    <w:link w:val="a8"/>
    <w:uiPriority w:val="99"/>
    <w:rsid w:val="0004392C"/>
    <w:rPr>
      <w:rFonts w:ascii="ＭＳ 明朝"/>
      <w:kern w:val="2"/>
      <w:sz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199</Words>
  <Characters>1139</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2019-03-29T01:52:00Z</dcterms:created>
  <dcterms:modified xsi:type="dcterms:W3CDTF">2019-03-29T01:53:00Z</dcterms:modified>
</cp:coreProperties>
</file>